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4FE1" w14:textId="62D63C3F" w:rsidR="00AA764A" w:rsidRPr="00AA764A" w:rsidRDefault="002A5332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62832322"/>
      <w:r>
        <w:rPr>
          <w:rFonts w:asciiTheme="majorHAnsi" w:hAnsiTheme="majorHAnsi" w:cstheme="majorHAnsi"/>
          <w:sz w:val="20"/>
          <w:szCs w:val="20"/>
        </w:rPr>
        <w:t>March 12, 2021</w:t>
      </w:r>
    </w:p>
    <w:p w14:paraId="4333FA5B" w14:textId="77777777" w:rsidR="00AA764A" w:rsidRPr="00AA764A" w:rsidRDefault="00AA764A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3DAAF0E" w14:textId="6478FA73" w:rsidR="009173AD" w:rsidRDefault="002A5332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Andrew </w:t>
      </w:r>
      <w:proofErr w:type="spellStart"/>
      <w:r>
        <w:rPr>
          <w:rFonts w:asciiTheme="majorHAnsi" w:hAnsiTheme="majorHAnsi" w:cstheme="majorHAnsi"/>
          <w:sz w:val="20"/>
          <w:szCs w:val="20"/>
        </w:rPr>
        <w:t>Bloschichak</w:t>
      </w:r>
      <w:proofErr w:type="spellEnd"/>
      <w:r>
        <w:rPr>
          <w:rFonts w:asciiTheme="majorHAnsi" w:hAnsiTheme="majorHAnsi" w:cstheme="majorHAnsi"/>
          <w:sz w:val="20"/>
          <w:szCs w:val="20"/>
        </w:rPr>
        <w:t>, MD, MBA</w:t>
      </w:r>
    </w:p>
    <w:p w14:paraId="51AD4DEE" w14:textId="19655E68" w:rsidR="009173AD" w:rsidRDefault="002A5332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Executive </w:t>
      </w:r>
      <w:r w:rsidR="009173AD" w:rsidRPr="00AA764A">
        <w:rPr>
          <w:rFonts w:asciiTheme="majorHAnsi" w:hAnsiTheme="majorHAnsi" w:cstheme="majorHAnsi"/>
          <w:sz w:val="20"/>
          <w:szCs w:val="20"/>
        </w:rPr>
        <w:t>C</w:t>
      </w:r>
      <w:r w:rsidR="004D74D1">
        <w:rPr>
          <w:rFonts w:asciiTheme="majorHAnsi" w:hAnsiTheme="majorHAnsi" w:cstheme="majorHAnsi"/>
          <w:sz w:val="20"/>
          <w:szCs w:val="20"/>
        </w:rPr>
        <w:t>ontractor</w:t>
      </w:r>
      <w:r w:rsidR="009173AD" w:rsidRPr="00AA764A">
        <w:rPr>
          <w:rFonts w:asciiTheme="majorHAnsi" w:hAnsiTheme="majorHAnsi" w:cstheme="majorHAnsi"/>
          <w:sz w:val="20"/>
          <w:szCs w:val="20"/>
        </w:rPr>
        <w:t xml:space="preserve"> Medical Director</w:t>
      </w:r>
    </w:p>
    <w:p w14:paraId="565AE964" w14:textId="7C964382" w:rsidR="00926EF4" w:rsidRPr="00CF3CA1" w:rsidRDefault="00926EF4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F3CA1">
        <w:rPr>
          <w:rFonts w:asciiTheme="majorHAnsi" w:hAnsiTheme="majorHAnsi" w:cstheme="majorHAnsi"/>
          <w:sz w:val="20"/>
          <w:szCs w:val="20"/>
        </w:rPr>
        <w:t>Novitas</w:t>
      </w:r>
      <w:proofErr w:type="spellEnd"/>
      <w:r w:rsidRPr="00CF3CA1">
        <w:rPr>
          <w:rFonts w:asciiTheme="majorHAnsi" w:hAnsiTheme="majorHAnsi" w:cstheme="majorHAnsi"/>
          <w:sz w:val="20"/>
          <w:szCs w:val="20"/>
        </w:rPr>
        <w:t xml:space="preserve"> Solutions, Inc. </w:t>
      </w:r>
    </w:p>
    <w:p w14:paraId="3FEE3023" w14:textId="194D14C9" w:rsidR="009173AD" w:rsidRPr="00AA764A" w:rsidRDefault="009173AD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>2020 Technology Parkway</w:t>
      </w:r>
    </w:p>
    <w:p w14:paraId="2F790617" w14:textId="32CEE7DC" w:rsidR="009173AD" w:rsidRPr="00AA764A" w:rsidRDefault="009173AD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>Suite #100</w:t>
      </w:r>
    </w:p>
    <w:p w14:paraId="46A1AAB4" w14:textId="2627AECE" w:rsidR="009173AD" w:rsidRDefault="009173AD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>Mechanicsburg, PA 10755-1825</w:t>
      </w:r>
      <w:r w:rsidR="005B52C0" w:rsidRPr="00AA764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69E65B" w14:textId="18F854C9" w:rsidR="002A5332" w:rsidRDefault="002A5332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5D0F09">
          <w:rPr>
            <w:rStyle w:val="Hyperlink"/>
            <w:rFonts w:asciiTheme="majorHAnsi" w:hAnsiTheme="majorHAnsi" w:cstheme="majorHAnsi"/>
            <w:sz w:val="20"/>
            <w:szCs w:val="20"/>
          </w:rPr>
          <w:t>andrew.bloschichak@novitas-solutions.com</w:t>
        </w:r>
      </w:hyperlink>
    </w:p>
    <w:p w14:paraId="4E9FA83B" w14:textId="3C183F9D" w:rsidR="00EB3CB3" w:rsidRPr="00AA764A" w:rsidRDefault="00EB3CB3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94D399D" w14:textId="4079D783" w:rsidR="00AA764A" w:rsidRPr="00AA764A" w:rsidRDefault="00AA764A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>RE:</w:t>
      </w:r>
      <w:r w:rsidRPr="00AA764A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AA764A">
        <w:rPr>
          <w:rFonts w:asciiTheme="majorHAnsi" w:hAnsiTheme="majorHAnsi" w:cstheme="majorHAnsi"/>
          <w:sz w:val="20"/>
          <w:szCs w:val="20"/>
        </w:rPr>
        <w:t>Novitas</w:t>
      </w:r>
      <w:proofErr w:type="spellEnd"/>
      <w:r w:rsidRPr="00AA764A">
        <w:rPr>
          <w:rFonts w:asciiTheme="majorHAnsi" w:hAnsiTheme="majorHAnsi" w:cstheme="majorHAnsi"/>
          <w:sz w:val="20"/>
          <w:szCs w:val="20"/>
        </w:rPr>
        <w:t xml:space="preserve"> Solutions (</w:t>
      </w:r>
      <w:proofErr w:type="spellStart"/>
      <w:r w:rsidRPr="00AA764A">
        <w:rPr>
          <w:rFonts w:asciiTheme="majorHAnsi" w:hAnsiTheme="majorHAnsi" w:cstheme="majorHAnsi"/>
          <w:sz w:val="20"/>
          <w:szCs w:val="20"/>
        </w:rPr>
        <w:t>Novitas</w:t>
      </w:r>
      <w:proofErr w:type="spellEnd"/>
      <w:r w:rsidRPr="00AA764A">
        <w:rPr>
          <w:rFonts w:asciiTheme="majorHAnsi" w:hAnsiTheme="majorHAnsi" w:cstheme="majorHAnsi"/>
          <w:sz w:val="20"/>
          <w:szCs w:val="20"/>
        </w:rPr>
        <w:t>) Reimbursement Rate for New External ECG Recording Codes</w:t>
      </w:r>
    </w:p>
    <w:p w14:paraId="55902DC4" w14:textId="77777777" w:rsidR="00AA764A" w:rsidRPr="00AA764A" w:rsidRDefault="00AA764A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F71624B" w14:textId="79A05D40" w:rsidR="00EB3CB3" w:rsidRPr="00AA764A" w:rsidRDefault="00F32D6B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 xml:space="preserve">Dear </w:t>
      </w:r>
      <w:proofErr w:type="gramStart"/>
      <w:r w:rsidRPr="00AA764A">
        <w:rPr>
          <w:rFonts w:asciiTheme="majorHAnsi" w:hAnsiTheme="majorHAnsi" w:cstheme="majorHAnsi"/>
          <w:sz w:val="20"/>
          <w:szCs w:val="20"/>
        </w:rPr>
        <w:t>Dr.</w:t>
      </w:r>
      <w:proofErr w:type="gramEnd"/>
      <w:r w:rsidRPr="00AA76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A5332">
        <w:rPr>
          <w:rFonts w:asciiTheme="majorHAnsi" w:hAnsiTheme="majorHAnsi" w:cstheme="majorHAnsi"/>
          <w:sz w:val="20"/>
          <w:szCs w:val="20"/>
        </w:rPr>
        <w:t>Bloschichak</w:t>
      </w:r>
      <w:proofErr w:type="spellEnd"/>
      <w:r w:rsidR="002A5332">
        <w:rPr>
          <w:rFonts w:asciiTheme="majorHAnsi" w:hAnsiTheme="majorHAnsi" w:cstheme="majorHAnsi"/>
          <w:sz w:val="20"/>
          <w:szCs w:val="20"/>
        </w:rPr>
        <w:t>:</w:t>
      </w:r>
    </w:p>
    <w:p w14:paraId="7278F740" w14:textId="25B2492A" w:rsidR="00F32D6B" w:rsidRPr="00AA764A" w:rsidRDefault="00F32D6B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5FEC175" w14:textId="2360377F" w:rsidR="00F32D6B" w:rsidRPr="00AA764A" w:rsidRDefault="009B37B9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would like to ask for your assistance</w:t>
      </w:r>
      <w:r>
        <w:rPr>
          <w:rFonts w:asciiTheme="majorHAnsi" w:hAnsiTheme="majorHAnsi" w:cstheme="majorHAnsi"/>
          <w:sz w:val="20"/>
          <w:szCs w:val="20"/>
        </w:rPr>
        <w:t>.</w:t>
      </w:r>
      <w:r w:rsidR="002B23B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am 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writing</w:t>
      </w:r>
      <w:proofErr w:type="gramEnd"/>
      <w:r w:rsidR="00F32D6B" w:rsidRPr="00AA764A">
        <w:rPr>
          <w:rFonts w:asciiTheme="majorHAnsi" w:hAnsiTheme="majorHAnsi" w:cstheme="majorHAnsi"/>
          <w:sz w:val="20"/>
          <w:szCs w:val="20"/>
        </w:rPr>
        <w:t xml:space="preserve"> to </w:t>
      </w:r>
      <w:r>
        <w:rPr>
          <w:rFonts w:asciiTheme="majorHAnsi" w:hAnsiTheme="majorHAnsi" w:cstheme="majorHAnsi"/>
          <w:sz w:val="20"/>
          <w:szCs w:val="20"/>
        </w:rPr>
        <w:t xml:space="preserve">strongly 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disagree with the January </w:t>
      </w:r>
      <w:r w:rsidR="00765F63" w:rsidRPr="00AA764A">
        <w:rPr>
          <w:rFonts w:asciiTheme="majorHAnsi" w:hAnsiTheme="majorHAnsi" w:cstheme="majorHAnsi"/>
          <w:sz w:val="20"/>
          <w:szCs w:val="20"/>
        </w:rPr>
        <w:t xml:space="preserve">29, 2021 </w:t>
      </w:r>
      <w:proofErr w:type="spellStart"/>
      <w:r w:rsidR="002B23BF">
        <w:rPr>
          <w:rFonts w:asciiTheme="majorHAnsi" w:hAnsiTheme="majorHAnsi" w:cstheme="majorHAnsi"/>
          <w:sz w:val="20"/>
          <w:szCs w:val="20"/>
        </w:rPr>
        <w:t>N</w:t>
      </w:r>
      <w:r w:rsidR="00F32D6B" w:rsidRPr="00AA764A">
        <w:rPr>
          <w:rFonts w:asciiTheme="majorHAnsi" w:hAnsiTheme="majorHAnsi" w:cstheme="majorHAnsi"/>
          <w:sz w:val="20"/>
          <w:szCs w:val="20"/>
        </w:rPr>
        <w:t>ovitas</w:t>
      </w:r>
      <w:proofErr w:type="spellEnd"/>
      <w:r w:rsidR="00F32D6B" w:rsidRPr="00AA764A">
        <w:rPr>
          <w:rFonts w:asciiTheme="majorHAnsi" w:hAnsiTheme="majorHAnsi" w:cstheme="majorHAnsi"/>
          <w:sz w:val="20"/>
          <w:szCs w:val="20"/>
        </w:rPr>
        <w:t xml:space="preserve"> </w:t>
      </w:r>
      <w:r w:rsidR="009173AD" w:rsidRPr="00AA764A">
        <w:rPr>
          <w:rFonts w:asciiTheme="majorHAnsi" w:hAnsiTheme="majorHAnsi" w:cstheme="majorHAnsi"/>
          <w:sz w:val="20"/>
          <w:szCs w:val="20"/>
        </w:rPr>
        <w:t>decision to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drastically cut reimbursement for the CPT Codes (93241, 93243, 93245, 93247) for long-term continuous event monitors</w:t>
      </w:r>
      <w:r w:rsidR="002B23BF">
        <w:rPr>
          <w:rFonts w:asciiTheme="majorHAnsi" w:hAnsiTheme="majorHAnsi" w:cstheme="majorHAnsi"/>
          <w:sz w:val="20"/>
          <w:szCs w:val="20"/>
        </w:rPr>
        <w:t>.</w:t>
      </w:r>
      <w:r w:rsidR="00F26329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I feel it is important to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understand what</w:t>
      </w:r>
      <w:r>
        <w:rPr>
          <w:rFonts w:asciiTheme="majorHAnsi" w:hAnsiTheme="majorHAnsi" w:cstheme="majorHAnsi"/>
          <w:sz w:val="20"/>
          <w:szCs w:val="20"/>
        </w:rPr>
        <w:t>, if any,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clinical evidence was used to support this decision. </w:t>
      </w:r>
    </w:p>
    <w:p w14:paraId="31507534" w14:textId="77777777" w:rsidR="00F32D6B" w:rsidRPr="00AA764A" w:rsidRDefault="00F32D6B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44EF853" w14:textId="57FF3F63" w:rsidR="00AA764A" w:rsidRPr="00AA764A" w:rsidRDefault="009173AD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>The</w:t>
      </w:r>
      <w:r w:rsidR="002B23BF">
        <w:rPr>
          <w:rFonts w:asciiTheme="majorHAnsi" w:hAnsiTheme="majorHAnsi" w:cstheme="majorHAnsi"/>
          <w:sz w:val="20"/>
          <w:szCs w:val="20"/>
        </w:rPr>
        <w:t>se</w:t>
      </w:r>
      <w:r w:rsidR="00765F63" w:rsidRPr="00AA764A">
        <w:rPr>
          <w:rFonts w:asciiTheme="majorHAnsi" w:hAnsiTheme="majorHAnsi" w:cstheme="majorHAnsi"/>
          <w:sz w:val="20"/>
          <w:szCs w:val="20"/>
        </w:rPr>
        <w:t xml:space="preserve"> </w:t>
      </w:r>
      <w:r w:rsidR="00340679" w:rsidRPr="00AA764A">
        <w:rPr>
          <w:rFonts w:asciiTheme="majorHAnsi" w:hAnsiTheme="majorHAnsi" w:cstheme="majorHAnsi"/>
          <w:sz w:val="20"/>
          <w:szCs w:val="20"/>
        </w:rPr>
        <w:t xml:space="preserve">reimbursement rates </w:t>
      </w:r>
      <w:r w:rsidRPr="00AA764A">
        <w:rPr>
          <w:rFonts w:asciiTheme="majorHAnsi" w:hAnsiTheme="majorHAnsi" w:cstheme="majorHAnsi"/>
          <w:sz w:val="20"/>
          <w:szCs w:val="20"/>
        </w:rPr>
        <w:t xml:space="preserve">no longer </w:t>
      </w:r>
      <w:r w:rsidR="002B23BF">
        <w:rPr>
          <w:rFonts w:asciiTheme="majorHAnsi" w:hAnsiTheme="majorHAnsi" w:cstheme="majorHAnsi"/>
          <w:sz w:val="20"/>
          <w:szCs w:val="20"/>
        </w:rPr>
        <w:t xml:space="preserve">even </w:t>
      </w:r>
      <w:r w:rsidRPr="00AA764A">
        <w:rPr>
          <w:rFonts w:asciiTheme="majorHAnsi" w:hAnsiTheme="majorHAnsi" w:cstheme="majorHAnsi"/>
          <w:sz w:val="20"/>
          <w:szCs w:val="20"/>
        </w:rPr>
        <w:t>cover</w:t>
      </w:r>
      <w:r w:rsidR="002B23BF">
        <w:rPr>
          <w:rFonts w:asciiTheme="majorHAnsi" w:hAnsiTheme="majorHAnsi" w:cstheme="majorHAnsi"/>
          <w:sz w:val="20"/>
          <w:szCs w:val="20"/>
        </w:rPr>
        <w:t xml:space="preserve"> </w:t>
      </w:r>
      <w:r w:rsidRPr="00AA764A">
        <w:rPr>
          <w:rFonts w:asciiTheme="majorHAnsi" w:hAnsiTheme="majorHAnsi" w:cstheme="majorHAnsi"/>
          <w:sz w:val="20"/>
          <w:szCs w:val="20"/>
        </w:rPr>
        <w:t>the cost to purchase these products</w:t>
      </w:r>
      <w:r w:rsidR="002B23BF">
        <w:rPr>
          <w:rFonts w:asciiTheme="majorHAnsi" w:hAnsiTheme="majorHAnsi" w:cstheme="majorHAnsi"/>
          <w:sz w:val="20"/>
          <w:szCs w:val="20"/>
        </w:rPr>
        <w:t>.</w:t>
      </w:r>
      <w:r w:rsidR="00435A83">
        <w:rPr>
          <w:rFonts w:asciiTheme="majorHAnsi" w:hAnsiTheme="majorHAnsi" w:cstheme="majorHAnsi"/>
          <w:sz w:val="20"/>
          <w:szCs w:val="20"/>
        </w:rPr>
        <w:t xml:space="preserve">  </w:t>
      </w:r>
      <w:r w:rsidR="002B23BF">
        <w:rPr>
          <w:rFonts w:asciiTheme="majorHAnsi" w:hAnsiTheme="majorHAnsi" w:cstheme="majorHAnsi"/>
          <w:sz w:val="20"/>
          <w:szCs w:val="20"/>
        </w:rPr>
        <w:t xml:space="preserve">This prevents </w:t>
      </w:r>
      <w:r w:rsidR="009B37B9">
        <w:rPr>
          <w:rFonts w:asciiTheme="majorHAnsi" w:hAnsiTheme="majorHAnsi" w:cstheme="majorHAnsi"/>
          <w:sz w:val="20"/>
          <w:szCs w:val="20"/>
        </w:rPr>
        <w:t>our practice</w:t>
      </w:r>
      <w:r w:rsidR="002B23BF">
        <w:rPr>
          <w:rFonts w:asciiTheme="majorHAnsi" w:hAnsiTheme="majorHAnsi" w:cstheme="majorHAnsi"/>
          <w:sz w:val="20"/>
          <w:szCs w:val="20"/>
        </w:rPr>
        <w:t xml:space="preserve"> </w:t>
      </w:r>
      <w:r w:rsidR="00AA764A" w:rsidRPr="00AA764A">
        <w:rPr>
          <w:rFonts w:asciiTheme="majorHAnsi" w:hAnsiTheme="majorHAnsi" w:cstheme="majorHAnsi"/>
          <w:sz w:val="20"/>
          <w:szCs w:val="20"/>
        </w:rPr>
        <w:t>from providing access and optimal care to patients.</w:t>
      </w:r>
      <w:r w:rsidR="00435A83">
        <w:rPr>
          <w:rFonts w:asciiTheme="majorHAnsi" w:hAnsiTheme="majorHAnsi" w:cstheme="majorHAnsi"/>
          <w:sz w:val="20"/>
          <w:szCs w:val="20"/>
        </w:rPr>
        <w:t xml:space="preserve">  </w:t>
      </w:r>
      <w:r w:rsidR="00A738C9">
        <w:rPr>
          <w:rFonts w:asciiTheme="majorHAnsi" w:hAnsiTheme="majorHAnsi" w:cstheme="majorHAnsi"/>
          <w:sz w:val="20"/>
          <w:szCs w:val="20"/>
        </w:rPr>
        <w:t>In addition, it seems the rates have been</w:t>
      </w:r>
      <w:r w:rsidR="009B37B9">
        <w:rPr>
          <w:rFonts w:asciiTheme="majorHAnsi" w:hAnsiTheme="majorHAnsi" w:cstheme="majorHAnsi"/>
          <w:sz w:val="20"/>
          <w:szCs w:val="20"/>
        </w:rPr>
        <w:t xml:space="preserve"> c</w:t>
      </w:r>
      <w:r w:rsidR="00435A83">
        <w:rPr>
          <w:rFonts w:asciiTheme="majorHAnsi" w:hAnsiTheme="majorHAnsi" w:cstheme="majorHAnsi"/>
          <w:sz w:val="20"/>
          <w:szCs w:val="20"/>
        </w:rPr>
        <w:t>opied</w:t>
      </w:r>
      <w:r w:rsidR="009B37B9">
        <w:rPr>
          <w:rFonts w:asciiTheme="majorHAnsi" w:hAnsiTheme="majorHAnsi" w:cstheme="majorHAnsi"/>
          <w:sz w:val="20"/>
          <w:szCs w:val="20"/>
        </w:rPr>
        <w:t xml:space="preserve"> from</w:t>
      </w:r>
      <w:r w:rsidR="00A738C9">
        <w:rPr>
          <w:rFonts w:asciiTheme="majorHAnsi" w:hAnsiTheme="majorHAnsi" w:cstheme="majorHAnsi"/>
          <w:sz w:val="20"/>
          <w:szCs w:val="20"/>
        </w:rPr>
        <w:t xml:space="preserve"> the </w:t>
      </w:r>
      <w:r w:rsidR="009B37B9">
        <w:rPr>
          <w:rFonts w:asciiTheme="majorHAnsi" w:hAnsiTheme="majorHAnsi" w:cstheme="majorHAnsi"/>
          <w:sz w:val="20"/>
          <w:szCs w:val="20"/>
        </w:rPr>
        <w:t>Holter</w:t>
      </w:r>
      <w:r w:rsidR="00A738C9">
        <w:rPr>
          <w:rFonts w:asciiTheme="majorHAnsi" w:hAnsiTheme="majorHAnsi" w:cstheme="majorHAnsi"/>
          <w:sz w:val="20"/>
          <w:szCs w:val="20"/>
        </w:rPr>
        <w:t xml:space="preserve"> rates</w:t>
      </w:r>
      <w:r w:rsidR="009B37B9">
        <w:rPr>
          <w:rFonts w:asciiTheme="majorHAnsi" w:hAnsiTheme="majorHAnsi" w:cstheme="majorHAnsi"/>
          <w:sz w:val="20"/>
          <w:szCs w:val="20"/>
        </w:rPr>
        <w:t>, although the category provides more functionality and requires additional physician time</w:t>
      </w:r>
      <w:r w:rsidR="00A738C9">
        <w:rPr>
          <w:rFonts w:asciiTheme="majorHAnsi" w:hAnsiTheme="majorHAnsi" w:cstheme="majorHAnsi"/>
          <w:sz w:val="20"/>
          <w:szCs w:val="20"/>
        </w:rPr>
        <w:t xml:space="preserve">. </w:t>
      </w:r>
      <w:r w:rsidR="00340679" w:rsidRPr="00AA764A">
        <w:rPr>
          <w:rFonts w:asciiTheme="majorHAnsi" w:hAnsiTheme="majorHAnsi" w:cstheme="majorHAnsi"/>
          <w:sz w:val="20"/>
          <w:szCs w:val="20"/>
        </w:rPr>
        <w:t xml:space="preserve">Clinical evidence </w:t>
      </w:r>
      <w:r w:rsidR="009B37B9">
        <w:rPr>
          <w:rFonts w:asciiTheme="majorHAnsi" w:hAnsiTheme="majorHAnsi" w:cstheme="majorHAnsi"/>
          <w:sz w:val="20"/>
          <w:szCs w:val="20"/>
        </w:rPr>
        <w:t xml:space="preserve">demonstrates </w:t>
      </w:r>
      <w:r w:rsidR="00F32D6B" w:rsidRPr="00AA764A">
        <w:rPr>
          <w:rFonts w:asciiTheme="majorHAnsi" w:hAnsiTheme="majorHAnsi" w:cstheme="majorHAnsi"/>
          <w:sz w:val="20"/>
          <w:szCs w:val="20"/>
        </w:rPr>
        <w:t>long-term continuous ECG</w:t>
      </w:r>
      <w:r w:rsidR="005D1CD6">
        <w:rPr>
          <w:rFonts w:asciiTheme="majorHAnsi" w:hAnsiTheme="majorHAnsi" w:cstheme="majorHAnsi"/>
          <w:sz w:val="20"/>
          <w:szCs w:val="20"/>
        </w:rPr>
        <w:t xml:space="preserve"> wearable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technology enables better detection</w:t>
      </w:r>
      <w:r w:rsidR="00A738C9">
        <w:rPr>
          <w:rFonts w:asciiTheme="majorHAnsi" w:hAnsiTheme="majorHAnsi" w:cstheme="majorHAnsi"/>
          <w:sz w:val="20"/>
          <w:szCs w:val="20"/>
        </w:rPr>
        <w:t xml:space="preserve"> and diagnosis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of </w:t>
      </w:r>
      <w:r w:rsidR="00A738C9">
        <w:rPr>
          <w:rFonts w:asciiTheme="majorHAnsi" w:hAnsiTheme="majorHAnsi" w:cstheme="majorHAnsi"/>
          <w:sz w:val="20"/>
          <w:szCs w:val="20"/>
        </w:rPr>
        <w:t xml:space="preserve">cardiac-related conditions including 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arrhythmias and aids in stroke prevention. These long-term continuous monitors are needed for many patients who </w:t>
      </w:r>
      <w:r w:rsidR="009B37B9">
        <w:rPr>
          <w:rFonts w:asciiTheme="majorHAnsi" w:hAnsiTheme="majorHAnsi" w:cstheme="majorHAnsi"/>
          <w:sz w:val="20"/>
          <w:szCs w:val="20"/>
        </w:rPr>
        <w:t>do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 not benefit from </w:t>
      </w:r>
      <w:r w:rsidR="00435A83">
        <w:rPr>
          <w:rFonts w:asciiTheme="majorHAnsi" w:hAnsiTheme="majorHAnsi" w:cstheme="majorHAnsi"/>
          <w:sz w:val="20"/>
          <w:szCs w:val="20"/>
        </w:rPr>
        <w:t xml:space="preserve">shorter </w:t>
      </w:r>
      <w:r w:rsidR="00F50D17">
        <w:rPr>
          <w:rFonts w:asciiTheme="majorHAnsi" w:hAnsiTheme="majorHAnsi" w:cstheme="majorHAnsi"/>
          <w:sz w:val="20"/>
          <w:szCs w:val="20"/>
        </w:rPr>
        <w:t xml:space="preserve">duration 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Holter </w:t>
      </w:r>
      <w:r w:rsidR="00435A83">
        <w:rPr>
          <w:rFonts w:asciiTheme="majorHAnsi" w:hAnsiTheme="majorHAnsi" w:cstheme="majorHAnsi"/>
          <w:sz w:val="20"/>
          <w:szCs w:val="20"/>
        </w:rPr>
        <w:t>recorders</w:t>
      </w:r>
      <w:r w:rsidR="00F32D6B" w:rsidRPr="00AA764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934B743" w14:textId="77777777" w:rsidR="00AA764A" w:rsidRPr="00AA764A" w:rsidRDefault="00AA764A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9A0D2F3" w14:textId="3B809DFF" w:rsidR="00340679" w:rsidRPr="00AA764A" w:rsidRDefault="00340679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A764A">
        <w:rPr>
          <w:rFonts w:asciiTheme="majorHAnsi" w:hAnsiTheme="majorHAnsi" w:cstheme="majorHAnsi"/>
          <w:sz w:val="20"/>
          <w:szCs w:val="20"/>
        </w:rPr>
        <w:t xml:space="preserve">Below are some of the benefits of long-term continuous </w:t>
      </w:r>
      <w:r w:rsidR="00670C61">
        <w:rPr>
          <w:rFonts w:asciiTheme="majorHAnsi" w:hAnsiTheme="majorHAnsi" w:cstheme="majorHAnsi"/>
          <w:sz w:val="20"/>
          <w:szCs w:val="20"/>
        </w:rPr>
        <w:t xml:space="preserve">ECG </w:t>
      </w:r>
      <w:r w:rsidRPr="00AA764A">
        <w:rPr>
          <w:rFonts w:asciiTheme="majorHAnsi" w:hAnsiTheme="majorHAnsi" w:cstheme="majorHAnsi"/>
          <w:sz w:val="20"/>
          <w:szCs w:val="20"/>
        </w:rPr>
        <w:t xml:space="preserve">monitors particularly when compared to traditional </w:t>
      </w:r>
      <w:proofErr w:type="spellStart"/>
      <w:r w:rsidRPr="00AA764A">
        <w:rPr>
          <w:rFonts w:asciiTheme="majorHAnsi" w:hAnsiTheme="majorHAnsi" w:cstheme="majorHAnsi"/>
          <w:sz w:val="20"/>
          <w:szCs w:val="20"/>
        </w:rPr>
        <w:t>Holters</w:t>
      </w:r>
      <w:proofErr w:type="spellEnd"/>
      <w:r w:rsidRPr="00AA764A">
        <w:rPr>
          <w:rFonts w:asciiTheme="majorHAnsi" w:hAnsiTheme="majorHAnsi" w:cstheme="majorHAnsi"/>
          <w:sz w:val="20"/>
          <w:szCs w:val="20"/>
        </w:rPr>
        <w:t xml:space="preserve"> (24-48 hours)</w:t>
      </w:r>
      <w:r w:rsidR="00AA764A" w:rsidRPr="00AA764A">
        <w:rPr>
          <w:rStyle w:val="FootnoteReference"/>
          <w:rFonts w:asciiTheme="majorHAnsi" w:hAnsiTheme="majorHAnsi" w:cstheme="majorHAnsi"/>
          <w:sz w:val="20"/>
          <w:szCs w:val="20"/>
        </w:rPr>
        <w:footnoteReference w:id="1"/>
      </w:r>
      <w:r w:rsidRPr="00AA764A">
        <w:rPr>
          <w:rFonts w:asciiTheme="majorHAnsi" w:hAnsiTheme="majorHAnsi" w:cstheme="majorHAnsi"/>
          <w:sz w:val="20"/>
          <w:szCs w:val="20"/>
        </w:rPr>
        <w:t>:</w:t>
      </w:r>
    </w:p>
    <w:p w14:paraId="1A1C21C6" w14:textId="77777777" w:rsidR="00340679" w:rsidRPr="00AA764A" w:rsidRDefault="00340679" w:rsidP="00F65A0A">
      <w:pPr>
        <w:pStyle w:val="ListParagraph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F149030" w14:textId="745E2F83" w:rsidR="00B659DE" w:rsidRPr="00B659DE" w:rsidRDefault="00670C61" w:rsidP="00F65A0A">
      <w:pPr>
        <w:pStyle w:val="ListParagraph"/>
        <w:numPr>
          <w:ilvl w:val="0"/>
          <w:numId w:val="6"/>
        </w:numPr>
        <w:spacing w:after="0"/>
        <w:ind w:right="5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High</w:t>
      </w:r>
      <w:r w:rsidR="002F409F">
        <w:rPr>
          <w:rFonts w:asciiTheme="majorHAnsi" w:hAnsiTheme="majorHAnsi" w:cstheme="majorHAnsi"/>
          <w:sz w:val="20"/>
          <w:szCs w:val="20"/>
        </w:rPr>
        <w:t>er</w:t>
      </w:r>
      <w:r>
        <w:rPr>
          <w:rFonts w:asciiTheme="majorHAnsi" w:hAnsiTheme="majorHAnsi" w:cstheme="majorHAnsi"/>
          <w:sz w:val="20"/>
          <w:szCs w:val="20"/>
        </w:rPr>
        <w:t xml:space="preserve"> rate </w:t>
      </w:r>
      <w:r w:rsidR="00B659DE" w:rsidRPr="00B659DE">
        <w:rPr>
          <w:rFonts w:asciiTheme="majorHAnsi" w:hAnsiTheme="majorHAnsi" w:cstheme="majorHAnsi"/>
          <w:sz w:val="20"/>
          <w:szCs w:val="20"/>
        </w:rPr>
        <w:t>of patient compliance and satisfaction and a significant improvement in arrhythmia detection wit</w:t>
      </w:r>
      <w:r w:rsidR="00B659DE">
        <w:rPr>
          <w:rFonts w:asciiTheme="majorHAnsi" w:hAnsiTheme="majorHAnsi" w:cstheme="majorHAnsi"/>
          <w:sz w:val="20"/>
          <w:szCs w:val="20"/>
        </w:rPr>
        <w:t>h</w:t>
      </w:r>
      <w:r w:rsidR="00B659DE" w:rsidRPr="00B659DE">
        <w:rPr>
          <w:rFonts w:asciiTheme="majorHAnsi" w:hAnsiTheme="majorHAnsi" w:cstheme="majorHAnsi"/>
          <w:sz w:val="20"/>
          <w:szCs w:val="20"/>
        </w:rPr>
        <w:t xml:space="preserve"> &gt;48</w:t>
      </w:r>
      <w:r w:rsidR="00F65A0A">
        <w:rPr>
          <w:rFonts w:asciiTheme="majorHAnsi" w:hAnsiTheme="majorHAnsi" w:cstheme="majorHAnsi"/>
          <w:sz w:val="20"/>
          <w:szCs w:val="20"/>
        </w:rPr>
        <w:t xml:space="preserve"> hours period</w:t>
      </w:r>
      <w:r w:rsidR="00B659DE" w:rsidRPr="00B659DE">
        <w:rPr>
          <w:rFonts w:asciiTheme="majorHAnsi" w:hAnsiTheme="majorHAnsi" w:cstheme="majorHAnsi"/>
          <w:sz w:val="20"/>
          <w:szCs w:val="20"/>
        </w:rPr>
        <w:t>.</w:t>
      </w:r>
      <w:r w:rsidR="005D1CD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350982" w14:textId="5F79BADB" w:rsidR="00340679" w:rsidRPr="00B0148C" w:rsidRDefault="00BE1CDE" w:rsidP="00F65A0A">
      <w:pPr>
        <w:pStyle w:val="ListParagraph"/>
        <w:numPr>
          <w:ilvl w:val="0"/>
          <w:numId w:val="6"/>
        </w:numPr>
        <w:spacing w:after="0"/>
        <w:ind w:right="27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More opportunity to capture cardiac arrhythmias and symptoms not recorded in a standard 24–48-hour Holter Monitor. </w:t>
      </w:r>
      <w:r w:rsidR="00435A83">
        <w:rPr>
          <w:rFonts w:asciiTheme="majorHAnsi" w:hAnsiTheme="majorHAnsi" w:cstheme="majorHAnsi"/>
          <w:sz w:val="20"/>
          <w:szCs w:val="20"/>
        </w:rPr>
        <w:t xml:space="preserve">Standard </w:t>
      </w:r>
      <w:r w:rsidR="000D477E" w:rsidRPr="00B0148C">
        <w:rPr>
          <w:rFonts w:asciiTheme="majorHAnsi" w:hAnsiTheme="majorHAnsi" w:cstheme="majorHAnsi"/>
          <w:sz w:val="20"/>
          <w:szCs w:val="20"/>
        </w:rPr>
        <w:t>Holter</w:t>
      </w:r>
      <w:r w:rsidR="00435A83">
        <w:rPr>
          <w:rFonts w:asciiTheme="majorHAnsi" w:hAnsiTheme="majorHAnsi" w:cstheme="majorHAnsi"/>
          <w:sz w:val="20"/>
          <w:szCs w:val="20"/>
        </w:rPr>
        <w:t xml:space="preserve"> recordings</w:t>
      </w:r>
      <w:r w:rsidR="00340679" w:rsidRPr="00B0148C">
        <w:rPr>
          <w:rFonts w:asciiTheme="majorHAnsi" w:hAnsiTheme="majorHAnsi" w:cstheme="majorHAnsi"/>
          <w:sz w:val="20"/>
          <w:szCs w:val="20"/>
        </w:rPr>
        <w:t xml:space="preserve"> </w:t>
      </w:r>
      <w:r w:rsidR="00F26329">
        <w:rPr>
          <w:rFonts w:asciiTheme="majorHAnsi" w:hAnsiTheme="majorHAnsi" w:cstheme="majorHAnsi"/>
          <w:sz w:val="20"/>
          <w:szCs w:val="20"/>
        </w:rPr>
        <w:t xml:space="preserve">can </w:t>
      </w:r>
      <w:r w:rsidR="000D477E" w:rsidRPr="00B0148C">
        <w:rPr>
          <w:rFonts w:asciiTheme="majorHAnsi" w:hAnsiTheme="majorHAnsi" w:cstheme="majorHAnsi"/>
          <w:sz w:val="20"/>
          <w:szCs w:val="20"/>
        </w:rPr>
        <w:t xml:space="preserve">have a low overall diagnostic yield </w:t>
      </w:r>
      <w:r>
        <w:rPr>
          <w:rFonts w:asciiTheme="majorHAnsi" w:hAnsiTheme="majorHAnsi" w:cstheme="majorHAnsi"/>
          <w:sz w:val="20"/>
          <w:szCs w:val="20"/>
        </w:rPr>
        <w:t xml:space="preserve">with </w:t>
      </w:r>
      <w:r w:rsidR="000D477E" w:rsidRPr="00B0148C">
        <w:rPr>
          <w:rFonts w:asciiTheme="majorHAnsi" w:hAnsiTheme="majorHAnsi" w:cstheme="majorHAnsi"/>
          <w:sz w:val="20"/>
          <w:szCs w:val="20"/>
        </w:rPr>
        <w:t>low sensitivity and negative predictive value for</w:t>
      </w:r>
      <w:r w:rsidR="00340679" w:rsidRPr="00B0148C">
        <w:rPr>
          <w:rFonts w:asciiTheme="majorHAnsi" w:hAnsiTheme="majorHAnsi" w:cstheme="majorHAnsi"/>
          <w:sz w:val="20"/>
          <w:szCs w:val="20"/>
        </w:rPr>
        <w:t xml:space="preserve"> the detection of atrial fibrillation</w:t>
      </w:r>
      <w:r w:rsidR="009B37B9">
        <w:rPr>
          <w:rFonts w:asciiTheme="majorHAnsi" w:hAnsiTheme="majorHAnsi" w:cstheme="majorHAnsi"/>
          <w:sz w:val="20"/>
          <w:szCs w:val="20"/>
        </w:rPr>
        <w:t>, one of the most common rhythms diagnosed today</w:t>
      </w:r>
      <w:r w:rsidR="00C336C6" w:rsidRPr="00B0148C">
        <w:rPr>
          <w:rFonts w:asciiTheme="majorHAnsi" w:hAnsiTheme="majorHAnsi" w:cstheme="majorHAnsi"/>
          <w:sz w:val="20"/>
          <w:szCs w:val="20"/>
        </w:rPr>
        <w:t>.</w:t>
      </w:r>
    </w:p>
    <w:p w14:paraId="11771177" w14:textId="1FD3D3DF" w:rsidR="00670C61" w:rsidRDefault="00670C61" w:rsidP="00670C61">
      <w:pPr>
        <w:pStyle w:val="ListParagraph"/>
        <w:numPr>
          <w:ilvl w:val="0"/>
          <w:numId w:val="6"/>
        </w:numPr>
        <w:spacing w:after="0"/>
        <w:ind w:right="27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Increased diagnostic yield by 25% or more from longer continuous wear time. 97.5% of all arrythmias </w:t>
      </w:r>
      <w:r w:rsidR="009B37B9">
        <w:rPr>
          <w:rFonts w:asciiTheme="majorHAnsi" w:hAnsiTheme="majorHAnsi" w:cstheme="majorHAnsi"/>
          <w:sz w:val="20"/>
          <w:szCs w:val="20"/>
        </w:rPr>
        <w:t xml:space="preserve">are </w:t>
      </w:r>
      <w:r>
        <w:rPr>
          <w:rFonts w:asciiTheme="majorHAnsi" w:hAnsiTheme="majorHAnsi" w:cstheme="majorHAnsi"/>
          <w:sz w:val="20"/>
          <w:szCs w:val="20"/>
        </w:rPr>
        <w:t xml:space="preserve">captured by day 8. </w:t>
      </w:r>
    </w:p>
    <w:p w14:paraId="2B05E87A" w14:textId="0F0F668F" w:rsidR="0036706A" w:rsidRPr="00AA764A" w:rsidRDefault="005D1CD6" w:rsidP="00F65A0A">
      <w:pPr>
        <w:pStyle w:val="ListParagraph"/>
        <w:numPr>
          <w:ilvl w:val="0"/>
          <w:numId w:val="6"/>
        </w:numPr>
        <w:spacing w:after="0"/>
        <w:ind w:right="5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Studies have found extended pat</w:t>
      </w:r>
      <w:r w:rsidR="00BE1CDE">
        <w:rPr>
          <w:rFonts w:asciiTheme="majorHAnsi" w:hAnsiTheme="majorHAnsi" w:cstheme="majorHAnsi"/>
          <w:sz w:val="20"/>
          <w:szCs w:val="20"/>
        </w:rPr>
        <w:t>c</w:t>
      </w:r>
      <w:r>
        <w:rPr>
          <w:rFonts w:asciiTheme="majorHAnsi" w:hAnsiTheme="majorHAnsi" w:cstheme="majorHAnsi"/>
          <w:sz w:val="20"/>
          <w:szCs w:val="20"/>
        </w:rPr>
        <w:t xml:space="preserve">h monitoring &gt;48 hours </w:t>
      </w:r>
      <w:r w:rsidR="00F26329">
        <w:rPr>
          <w:rFonts w:asciiTheme="majorHAnsi" w:hAnsiTheme="majorHAnsi" w:cstheme="majorHAnsi"/>
          <w:sz w:val="20"/>
          <w:szCs w:val="20"/>
        </w:rPr>
        <w:t>result</w:t>
      </w:r>
      <w:r>
        <w:rPr>
          <w:rFonts w:asciiTheme="majorHAnsi" w:hAnsiTheme="majorHAnsi" w:cstheme="majorHAnsi"/>
          <w:sz w:val="20"/>
          <w:szCs w:val="20"/>
        </w:rPr>
        <w:t xml:space="preserve"> in </w:t>
      </w:r>
      <w:r w:rsidR="009B37B9">
        <w:rPr>
          <w:rFonts w:asciiTheme="majorHAnsi" w:hAnsiTheme="majorHAnsi" w:cstheme="majorHAnsi"/>
          <w:sz w:val="20"/>
          <w:szCs w:val="20"/>
        </w:rPr>
        <w:t xml:space="preserve">a </w:t>
      </w:r>
      <w:r>
        <w:rPr>
          <w:rFonts w:asciiTheme="majorHAnsi" w:hAnsiTheme="majorHAnsi" w:cstheme="majorHAnsi"/>
          <w:sz w:val="20"/>
          <w:szCs w:val="20"/>
        </w:rPr>
        <w:t xml:space="preserve">change in patient management in </w:t>
      </w:r>
      <w:r w:rsidR="00F26329">
        <w:rPr>
          <w:rFonts w:asciiTheme="majorHAnsi" w:hAnsiTheme="majorHAnsi" w:cstheme="majorHAnsi"/>
          <w:sz w:val="20"/>
          <w:szCs w:val="20"/>
        </w:rPr>
        <w:t xml:space="preserve">approximately </w:t>
      </w:r>
      <w:r w:rsidR="00BE1CDE">
        <w:rPr>
          <w:rFonts w:asciiTheme="majorHAnsi" w:hAnsiTheme="majorHAnsi" w:cstheme="majorHAnsi"/>
          <w:sz w:val="20"/>
          <w:szCs w:val="20"/>
        </w:rPr>
        <w:t>one-third</w:t>
      </w:r>
      <w:r>
        <w:rPr>
          <w:rFonts w:asciiTheme="majorHAnsi" w:hAnsiTheme="majorHAnsi" w:cstheme="majorHAnsi"/>
          <w:sz w:val="20"/>
          <w:szCs w:val="20"/>
        </w:rPr>
        <w:t xml:space="preserve"> of patients. </w:t>
      </w:r>
    </w:p>
    <w:p w14:paraId="6286EB06" w14:textId="78A7CD64" w:rsidR="00430DF3" w:rsidRDefault="00430DF3" w:rsidP="00F65A0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98E01B0" w14:textId="74C57FF9" w:rsidR="00765F63" w:rsidRPr="00AA764A" w:rsidRDefault="00765F63" w:rsidP="00F65A0A">
      <w:pPr>
        <w:spacing w:after="0" w:line="240" w:lineRule="auto"/>
        <w:jc w:val="both"/>
        <w:rPr>
          <w:rFonts w:asciiTheme="majorHAnsi" w:hAnsiTheme="majorHAnsi" w:cstheme="majorHAnsi"/>
          <w:noProof/>
          <w:color w:val="002C74"/>
          <w:sz w:val="20"/>
          <w:szCs w:val="20"/>
        </w:rPr>
      </w:pPr>
      <w:r w:rsidRPr="00AA764A">
        <w:rPr>
          <w:rFonts w:asciiTheme="majorHAnsi" w:hAnsiTheme="majorHAnsi" w:cstheme="majorHAnsi"/>
          <w:noProof/>
          <w:sz w:val="20"/>
          <w:szCs w:val="20"/>
        </w:rPr>
        <w:t xml:space="preserve">We believe the </w:t>
      </w:r>
      <w:r w:rsidR="00EB3CB3" w:rsidRPr="00AA764A">
        <w:rPr>
          <w:rFonts w:asciiTheme="majorHAnsi" w:hAnsiTheme="majorHAnsi" w:cstheme="majorHAnsi"/>
          <w:noProof/>
          <w:sz w:val="20"/>
          <w:szCs w:val="20"/>
        </w:rPr>
        <w:t xml:space="preserve">extremely </w:t>
      </w:r>
      <w:r w:rsidRPr="00AA764A">
        <w:rPr>
          <w:rFonts w:asciiTheme="majorHAnsi" w:hAnsiTheme="majorHAnsi" w:cstheme="majorHAnsi"/>
          <w:noProof/>
          <w:sz w:val="20"/>
          <w:szCs w:val="20"/>
        </w:rPr>
        <w:t>low reimbursement will sever</w:t>
      </w:r>
      <w:r w:rsidR="00CF3CA1">
        <w:rPr>
          <w:rFonts w:asciiTheme="majorHAnsi" w:hAnsiTheme="majorHAnsi" w:cstheme="majorHAnsi"/>
          <w:noProof/>
          <w:sz w:val="20"/>
          <w:szCs w:val="20"/>
        </w:rPr>
        <w:t>e</w:t>
      </w:r>
      <w:r w:rsidRPr="00AA764A">
        <w:rPr>
          <w:rFonts w:asciiTheme="majorHAnsi" w:hAnsiTheme="majorHAnsi" w:cstheme="majorHAnsi"/>
          <w:noProof/>
          <w:sz w:val="20"/>
          <w:szCs w:val="20"/>
        </w:rPr>
        <w:t xml:space="preserve">ly impede effective </w:t>
      </w:r>
      <w:r w:rsidR="00CF2A96" w:rsidRPr="00AA764A">
        <w:rPr>
          <w:rFonts w:asciiTheme="majorHAnsi" w:hAnsiTheme="majorHAnsi" w:cstheme="majorHAnsi"/>
          <w:noProof/>
          <w:sz w:val="20"/>
          <w:szCs w:val="20"/>
        </w:rPr>
        <w:t xml:space="preserve">patient </w:t>
      </w:r>
      <w:r w:rsidR="00B0148C">
        <w:rPr>
          <w:rFonts w:asciiTheme="majorHAnsi" w:hAnsiTheme="majorHAnsi" w:cstheme="majorHAnsi"/>
          <w:noProof/>
          <w:sz w:val="20"/>
          <w:szCs w:val="20"/>
        </w:rPr>
        <w:t>atrial fibrillation</w:t>
      </w:r>
      <w:r w:rsidR="00CF2A96" w:rsidRPr="00AA764A">
        <w:rPr>
          <w:rFonts w:asciiTheme="majorHAnsi" w:hAnsiTheme="majorHAnsi" w:cstheme="majorHAnsi"/>
          <w:noProof/>
          <w:sz w:val="20"/>
          <w:szCs w:val="20"/>
        </w:rPr>
        <w:t xml:space="preserve"> detection</w:t>
      </w:r>
      <w:r w:rsidR="00B0148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AA764A">
        <w:rPr>
          <w:rFonts w:asciiTheme="majorHAnsi" w:hAnsiTheme="majorHAnsi" w:cstheme="majorHAnsi"/>
          <w:noProof/>
          <w:sz w:val="20"/>
          <w:szCs w:val="20"/>
        </w:rPr>
        <w:t xml:space="preserve">and </w:t>
      </w:r>
      <w:r w:rsidR="009B37B9">
        <w:rPr>
          <w:rFonts w:asciiTheme="majorHAnsi" w:hAnsiTheme="majorHAnsi" w:cstheme="majorHAnsi"/>
          <w:noProof/>
          <w:sz w:val="20"/>
          <w:szCs w:val="20"/>
        </w:rPr>
        <w:t>negatively affect</w:t>
      </w:r>
      <w:r w:rsidRPr="00AA764A">
        <w:rPr>
          <w:rFonts w:asciiTheme="majorHAnsi" w:hAnsiTheme="majorHAnsi" w:cstheme="majorHAnsi"/>
          <w:noProof/>
          <w:sz w:val="20"/>
          <w:szCs w:val="20"/>
        </w:rPr>
        <w:t xml:space="preserve"> patient care.</w:t>
      </w:r>
      <w:r w:rsidR="00B0148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CF2A96" w:rsidRPr="00AA764A">
        <w:rPr>
          <w:rFonts w:asciiTheme="majorHAnsi" w:hAnsiTheme="majorHAnsi" w:cstheme="majorHAnsi"/>
          <w:noProof/>
          <w:sz w:val="20"/>
          <w:szCs w:val="20"/>
        </w:rPr>
        <w:t>We ask for your reconsideration as well as request a timely written response to this letter.</w:t>
      </w:r>
    </w:p>
    <w:p w14:paraId="7ED6FC74" w14:textId="77777777" w:rsidR="005B52C0" w:rsidRPr="00AA764A" w:rsidRDefault="005B52C0" w:rsidP="00F65A0A">
      <w:pPr>
        <w:spacing w:after="0" w:line="240" w:lineRule="auto"/>
        <w:jc w:val="both"/>
        <w:rPr>
          <w:rFonts w:asciiTheme="majorHAnsi" w:hAnsiTheme="majorHAnsi" w:cstheme="majorHAnsi"/>
          <w:noProof/>
          <w:color w:val="002C74"/>
          <w:sz w:val="20"/>
          <w:szCs w:val="20"/>
        </w:rPr>
      </w:pPr>
    </w:p>
    <w:p w14:paraId="483FF1E5" w14:textId="1AE7A672" w:rsidR="005B52C0" w:rsidRDefault="00B0148C" w:rsidP="00F65A0A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Thank you for your time and consideration.</w:t>
      </w:r>
    </w:p>
    <w:p w14:paraId="395DB563" w14:textId="77777777" w:rsidR="00B0148C" w:rsidRPr="00AA764A" w:rsidRDefault="00B0148C" w:rsidP="00F65A0A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5642FCDE" w14:textId="3C72CDCE" w:rsidR="005B52C0" w:rsidRPr="00AA764A" w:rsidRDefault="005B52C0" w:rsidP="00F65A0A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AA764A">
        <w:rPr>
          <w:rFonts w:asciiTheme="majorHAnsi" w:hAnsiTheme="majorHAnsi" w:cstheme="majorHAnsi"/>
          <w:noProof/>
          <w:sz w:val="20"/>
          <w:szCs w:val="20"/>
        </w:rPr>
        <w:t xml:space="preserve">Sincerely, </w:t>
      </w:r>
    </w:p>
    <w:p w14:paraId="1B4E2B02" w14:textId="6BDAFEB7" w:rsidR="008E2BF0" w:rsidRDefault="008E2BF0" w:rsidP="00F65A0A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4B6AB561" w14:textId="57BD30AA" w:rsidR="00E077DE" w:rsidRDefault="00E077DE" w:rsidP="00F65A0A">
      <w:pPr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5D571C9D" w14:textId="37ABCE16" w:rsidR="00344730" w:rsidRDefault="00E077DE" w:rsidP="00F65A0A">
      <w:pPr>
        <w:spacing w:after="0" w:line="24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sz w:val="20"/>
          <w:szCs w:val="20"/>
        </w:rPr>
        <w:t>Name, Practice Name, Phone</w:t>
      </w:r>
      <w:r w:rsidR="00743780">
        <w:rPr>
          <w:rFonts w:asciiTheme="majorHAnsi" w:hAnsiTheme="majorHAnsi" w:cstheme="majorHAnsi"/>
          <w:noProof/>
          <w:sz w:val="20"/>
          <w:szCs w:val="20"/>
        </w:rPr>
        <w:t xml:space="preserve">, </w:t>
      </w:r>
      <w:r>
        <w:rPr>
          <w:rFonts w:asciiTheme="majorHAnsi" w:hAnsiTheme="majorHAnsi" w:cstheme="majorHAnsi"/>
          <w:noProof/>
          <w:sz w:val="20"/>
          <w:szCs w:val="20"/>
        </w:rPr>
        <w:t>NPI #</w:t>
      </w:r>
      <w:bookmarkEnd w:id="0"/>
    </w:p>
    <w:sectPr w:rsidR="00344730" w:rsidSect="00F65A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0" w:right="1170" w:bottom="965" w:left="1080" w:header="720" w:footer="1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7D33" w14:textId="77777777" w:rsidR="009C73DC" w:rsidRDefault="009C73DC">
      <w:pPr>
        <w:spacing w:after="0" w:line="240" w:lineRule="auto"/>
      </w:pPr>
      <w:r>
        <w:separator/>
      </w:r>
    </w:p>
  </w:endnote>
  <w:endnote w:type="continuationSeparator" w:id="0">
    <w:p w14:paraId="4DAF577A" w14:textId="77777777" w:rsidR="009C73DC" w:rsidRDefault="009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0" w:type="dxa"/>
      <w:jc w:val="center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120"/>
      <w:gridCol w:w="2070"/>
    </w:tblGrid>
    <w:tr w:rsidR="00697417" w:rsidRPr="002A5332" w14:paraId="4D0E0DBB" w14:textId="77777777" w:rsidTr="003074AF">
      <w:trPr>
        <w:jc w:val="center"/>
      </w:trPr>
      <w:tc>
        <w:tcPr>
          <w:tcW w:w="2610" w:type="dxa"/>
        </w:tcPr>
        <w:p w14:paraId="4D0443FC" w14:textId="77777777" w:rsidR="00697417" w:rsidRDefault="00697417" w:rsidP="00697417">
          <w:pPr>
            <w:pStyle w:val="Footer"/>
          </w:pPr>
          <w:r>
            <w:rPr>
              <w:noProof/>
            </w:rPr>
            <w:drawing>
              <wp:inline distT="0" distB="0" distL="0" distR="0" wp14:anchorId="7CFE6401" wp14:editId="464F63A3">
                <wp:extent cx="1371600" cy="359472"/>
                <wp:effectExtent l="0" t="0" r="0" b="254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I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59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14:paraId="37B0ED1E" w14:textId="77777777" w:rsidR="00697417" w:rsidRPr="00442CC2" w:rsidRDefault="00697417" w:rsidP="00697417">
          <w:pPr>
            <w:widowControl w:val="0"/>
            <w:tabs>
              <w:tab w:val="right" w:pos="8370"/>
            </w:tabs>
            <w:autoSpaceDE w:val="0"/>
            <w:autoSpaceDN w:val="0"/>
            <w:adjustRightInd w:val="0"/>
            <w:spacing w:after="0" w:line="276" w:lineRule="auto"/>
            <w:rPr>
              <w:rFonts w:ascii="Arial" w:eastAsiaTheme="minorHAnsi" w:hAnsi="Arial" w:cs="Helvetica"/>
              <w:sz w:val="14"/>
              <w:szCs w:val="24"/>
            </w:rPr>
          </w:pPr>
          <w:r w:rsidRPr="00442CC2">
            <w:rPr>
              <w:rFonts w:ascii="Arial" w:eastAsiaTheme="minorHAnsi" w:hAnsi="Arial" w:cs="Helvetica"/>
              <w:sz w:val="14"/>
              <w:szCs w:val="24"/>
            </w:rPr>
            <w:t xml:space="preserve">Cardiac Insight Inc. • </w:t>
          </w:r>
          <w:r w:rsidRPr="00CA16CC">
            <w:rPr>
              <w:rFonts w:ascii="Arial" w:eastAsiaTheme="minorHAnsi" w:hAnsi="Arial" w:cs="Helvetica"/>
              <w:sz w:val="14"/>
              <w:szCs w:val="24"/>
            </w:rPr>
            <w:t>2375 130th Avenue NE, Suite 101, Bellevue, WA 9800</w:t>
          </w:r>
          <w:r>
            <w:rPr>
              <w:rFonts w:ascii="Arial" w:eastAsiaTheme="minorHAnsi" w:hAnsi="Arial" w:cs="Helvetica"/>
              <w:sz w:val="14"/>
              <w:szCs w:val="24"/>
            </w:rPr>
            <w:t>5</w:t>
          </w:r>
          <w:r w:rsidRPr="00442CC2">
            <w:rPr>
              <w:rFonts w:ascii="Arial" w:eastAsiaTheme="minorHAnsi" w:hAnsi="Arial" w:cs="Helvetica"/>
              <w:sz w:val="14"/>
              <w:szCs w:val="24"/>
            </w:rPr>
            <w:t xml:space="preserve"> • </w:t>
          </w:r>
          <w:r w:rsidRPr="00442CC2">
            <w:rPr>
              <w:rFonts w:ascii="Arial" w:eastAsiaTheme="minorHAnsi" w:hAnsi="Arial" w:cs="Helvetica"/>
              <w:bCs/>
              <w:sz w:val="14"/>
              <w:szCs w:val="24"/>
            </w:rPr>
            <w:t>866-554-3751</w:t>
          </w:r>
        </w:p>
        <w:p w14:paraId="1985782F" w14:textId="77777777" w:rsidR="00697417" w:rsidRPr="00376DD5" w:rsidRDefault="009C73DC" w:rsidP="00697417">
          <w:pPr>
            <w:widowControl w:val="0"/>
            <w:tabs>
              <w:tab w:val="right" w:pos="8370"/>
            </w:tabs>
            <w:autoSpaceDE w:val="0"/>
            <w:autoSpaceDN w:val="0"/>
            <w:adjustRightInd w:val="0"/>
            <w:spacing w:after="0" w:line="276" w:lineRule="auto"/>
            <w:rPr>
              <w:rFonts w:ascii="Arial" w:hAnsi="Arial"/>
              <w:sz w:val="14"/>
            </w:rPr>
          </w:pPr>
          <w:hyperlink r:id="rId2" w:history="1">
            <w:r w:rsidR="00697417" w:rsidRPr="00442CC2">
              <w:rPr>
                <w:rFonts w:ascii="Arial" w:eastAsiaTheme="minorHAnsi" w:hAnsi="Arial" w:cs="Helvetica"/>
                <w:sz w:val="14"/>
                <w:szCs w:val="24"/>
                <w:u w:val="single" w:color="386EFF"/>
              </w:rPr>
              <w:t>cardiacinsightinc.com</w:t>
            </w:r>
          </w:hyperlink>
          <w:r w:rsidR="00697417" w:rsidRPr="00442CC2">
            <w:rPr>
              <w:rFonts w:ascii="Arial" w:eastAsiaTheme="minorHAnsi" w:hAnsi="Arial" w:cs="Helvetica"/>
              <w:sz w:val="14"/>
              <w:szCs w:val="24"/>
            </w:rPr>
            <w:t xml:space="preserve"> • </w:t>
          </w:r>
          <w:hyperlink r:id="rId3" w:history="1">
            <w:r w:rsidR="00697417" w:rsidRPr="00442CC2">
              <w:rPr>
                <w:rFonts w:ascii="Arial" w:eastAsiaTheme="minorHAnsi" w:hAnsi="Arial" w:cs="Helvetica"/>
                <w:sz w:val="14"/>
                <w:szCs w:val="24"/>
                <w:u w:val="single" w:color="386EFF"/>
              </w:rPr>
              <w:t>info@cardiacinsightinc.com</w:t>
            </w:r>
          </w:hyperlink>
        </w:p>
      </w:tc>
      <w:tc>
        <w:tcPr>
          <w:tcW w:w="2070" w:type="dxa"/>
          <w:vAlign w:val="center"/>
        </w:tcPr>
        <w:p w14:paraId="30606636" w14:textId="77777777" w:rsidR="00697417" w:rsidRPr="00F32D6B" w:rsidRDefault="00697417" w:rsidP="00697417">
          <w:pPr>
            <w:pStyle w:val="Footer"/>
            <w:spacing w:line="276" w:lineRule="auto"/>
            <w:jc w:val="right"/>
            <w:rPr>
              <w:rFonts w:ascii="Arial" w:eastAsiaTheme="minorHAnsi" w:hAnsi="Arial" w:cs="Helvetica"/>
              <w:sz w:val="14"/>
              <w:szCs w:val="24"/>
              <w:lang w:val="fr-FR"/>
            </w:rPr>
          </w:pPr>
          <w:r w:rsidRPr="00442CC2">
            <w:rPr>
              <w:rFonts w:ascii="Arial" w:eastAsiaTheme="minorHAnsi" w:hAnsi="Arial" w:cs="Helvetica"/>
              <w:sz w:val="14"/>
              <w:szCs w:val="24"/>
            </w:rPr>
            <w:t xml:space="preserve"> </w:t>
          </w:r>
          <w:r w:rsidR="003074AF" w:rsidRPr="00F32D6B">
            <w:rPr>
              <w:rFonts w:ascii="Arial" w:eastAsiaTheme="minorHAnsi" w:hAnsi="Arial" w:cs="Helvetica"/>
              <w:sz w:val="14"/>
              <w:szCs w:val="24"/>
              <w:lang w:val="fr-FR"/>
            </w:rPr>
            <w:t>[Mon YYYY]</w:t>
          </w:r>
        </w:p>
        <w:p w14:paraId="7D3DF5DD" w14:textId="77777777" w:rsidR="00697417" w:rsidRPr="00F32D6B" w:rsidRDefault="00697417" w:rsidP="00697417">
          <w:pPr>
            <w:pStyle w:val="Footer"/>
            <w:spacing w:line="276" w:lineRule="auto"/>
            <w:jc w:val="right"/>
            <w:rPr>
              <w:lang w:val="fr-FR"/>
            </w:rPr>
          </w:pPr>
          <w:r w:rsidRPr="00F32D6B">
            <w:rPr>
              <w:rFonts w:ascii="Arial" w:eastAsiaTheme="minorHAnsi" w:hAnsi="Arial" w:cs="Helvetica"/>
              <w:sz w:val="14"/>
              <w:szCs w:val="24"/>
              <w:lang w:val="fr-FR"/>
            </w:rPr>
            <w:t>MKTXXXXX</w:t>
          </w:r>
          <w:r w:rsidR="005169DF" w:rsidRPr="00F32D6B">
            <w:rPr>
              <w:rFonts w:ascii="Arial" w:eastAsiaTheme="minorHAnsi" w:hAnsi="Arial" w:cs="Helvetica"/>
              <w:sz w:val="14"/>
              <w:szCs w:val="24"/>
              <w:lang w:val="fr-FR"/>
            </w:rPr>
            <w:t xml:space="preserve"> </w:t>
          </w:r>
          <w:proofErr w:type="spellStart"/>
          <w:r w:rsidR="005169DF" w:rsidRPr="00F32D6B">
            <w:rPr>
              <w:rFonts w:ascii="Arial" w:eastAsiaTheme="minorHAnsi" w:hAnsi="Arial" w:cs="Helvetica"/>
              <w:sz w:val="14"/>
              <w:szCs w:val="24"/>
              <w:lang w:val="fr-FR"/>
            </w:rPr>
            <w:t>Rev</w:t>
          </w:r>
          <w:proofErr w:type="spellEnd"/>
          <w:r w:rsidR="005169DF" w:rsidRPr="00F32D6B">
            <w:rPr>
              <w:rFonts w:ascii="Arial" w:eastAsiaTheme="minorHAnsi" w:hAnsi="Arial" w:cs="Helvetica"/>
              <w:sz w:val="14"/>
              <w:szCs w:val="24"/>
              <w:lang w:val="fr-FR"/>
            </w:rPr>
            <w:t xml:space="preserve"> X</w:t>
          </w:r>
        </w:p>
      </w:tc>
    </w:tr>
  </w:tbl>
  <w:p w14:paraId="2F318EE2" w14:textId="77777777" w:rsidR="00376DD5" w:rsidRPr="00F32D6B" w:rsidRDefault="00376DD5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B8B1" w14:textId="77777777" w:rsidR="0006686A" w:rsidRPr="00F32D6B" w:rsidRDefault="0006686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DDA1" w14:textId="77777777" w:rsidR="009C73DC" w:rsidRDefault="009C73DC">
      <w:pPr>
        <w:spacing w:after="0" w:line="240" w:lineRule="auto"/>
      </w:pPr>
      <w:r>
        <w:separator/>
      </w:r>
    </w:p>
  </w:footnote>
  <w:footnote w:type="continuationSeparator" w:id="0">
    <w:p w14:paraId="6940DD30" w14:textId="77777777" w:rsidR="009C73DC" w:rsidRDefault="009C73DC">
      <w:pPr>
        <w:spacing w:after="0" w:line="240" w:lineRule="auto"/>
      </w:pPr>
      <w:r>
        <w:continuationSeparator/>
      </w:r>
    </w:p>
  </w:footnote>
  <w:footnote w:id="1">
    <w:p w14:paraId="41980538" w14:textId="775488C5" w:rsidR="00AA764A" w:rsidRPr="00AA764A" w:rsidRDefault="00AA764A">
      <w:pPr>
        <w:pStyle w:val="FootnoteText"/>
      </w:pPr>
      <w:r>
        <w:rPr>
          <w:rStyle w:val="FootnoteReference"/>
        </w:rPr>
        <w:footnoteRef/>
      </w:r>
      <w:r w:rsidRPr="00AA764A">
        <w:rPr>
          <w:lang w:val="fr-FR"/>
        </w:rPr>
        <w:t xml:space="preserve"> Hauser, Robert G., MD, FACC,</w:t>
      </w:r>
      <w:r>
        <w:rPr>
          <w:lang w:val="fr-FR"/>
        </w:rPr>
        <w:t xml:space="preserve"> FHRS. </w:t>
      </w:r>
      <w:r w:rsidRPr="00AA764A">
        <w:rPr>
          <w:i/>
          <w:iCs/>
        </w:rPr>
        <w:t>Cost-Effective Ambulatory ECG Monitoring.</w:t>
      </w:r>
      <w:r>
        <w:rPr>
          <w:i/>
          <w:iCs/>
        </w:rPr>
        <w:t xml:space="preserve"> </w:t>
      </w:r>
      <w:r>
        <w:t>EP Lab Digest. May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8727" w14:textId="77777777" w:rsidR="00173C7C" w:rsidRDefault="00173C7C" w:rsidP="00173C7C">
    <w:pPr>
      <w:pStyle w:val="Header"/>
      <w:jc w:val="right"/>
    </w:pPr>
    <w:r>
      <w:rPr>
        <w:rFonts w:ascii="Arial" w:hAnsi="Arial" w:cs="Arial"/>
        <w:noProof/>
        <w:color w:val="002C74"/>
        <w:sz w:val="44"/>
      </w:rPr>
      <w:drawing>
        <wp:anchor distT="0" distB="0" distL="114300" distR="114300" simplePos="0" relativeHeight="251661312" behindDoc="0" locked="0" layoutInCell="1" allowOverlap="1" wp14:anchorId="617208DD" wp14:editId="6ECB0151">
          <wp:simplePos x="0" y="0"/>
          <wp:positionH relativeFrom="column">
            <wp:posOffset>5021580</wp:posOffset>
          </wp:positionH>
          <wp:positionV relativeFrom="paragraph">
            <wp:posOffset>-116494</wp:posOffset>
          </wp:positionV>
          <wp:extent cx="1535028" cy="400076"/>
          <wp:effectExtent l="0" t="0" r="825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5028" cy="40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14C4" w14:textId="5CA7768D" w:rsidR="00173C7C" w:rsidRDefault="009A3D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97B39F" wp14:editId="136B2CF8">
              <wp:simplePos x="0" y="0"/>
              <wp:positionH relativeFrom="column">
                <wp:posOffset>4152900</wp:posOffset>
              </wp:positionH>
              <wp:positionV relativeFrom="paragraph">
                <wp:posOffset>-361950</wp:posOffset>
              </wp:positionV>
              <wp:extent cx="2813050" cy="70167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C0A36" w14:textId="5248F118" w:rsidR="009A3D76" w:rsidRPr="009A3D76" w:rsidRDefault="009A3D76" w:rsidP="009A3D76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A3D76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PHYSICIAN LETTER HEAD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7B3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-28.5pt;width:221.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" filled="f" stroked="f">
              <v:textbox>
                <w:txbxContent>
                  <w:p w14:paraId="2E4C0A36" w14:textId="5248F118" w:rsidR="009A3D76" w:rsidRPr="009A3D76" w:rsidRDefault="009A3D76" w:rsidP="009A3D76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A3D76">
                      <w:rPr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PHYSICIAN LETTER HEAD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250"/>
    <w:multiLevelType w:val="hybridMultilevel"/>
    <w:tmpl w:val="D0169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93A60"/>
    <w:multiLevelType w:val="hybridMultilevel"/>
    <w:tmpl w:val="EF122080"/>
    <w:lvl w:ilvl="0" w:tplc="F3A0E6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F72"/>
    <w:multiLevelType w:val="hybridMultilevel"/>
    <w:tmpl w:val="2E08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935F5"/>
    <w:multiLevelType w:val="hybridMultilevel"/>
    <w:tmpl w:val="63B47FA0"/>
    <w:lvl w:ilvl="0" w:tplc="BB9AA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E7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47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A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C2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E8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253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83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8D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B91"/>
    <w:multiLevelType w:val="hybridMultilevel"/>
    <w:tmpl w:val="8FA06C70"/>
    <w:lvl w:ilvl="0" w:tplc="F3A0E6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477A"/>
    <w:multiLevelType w:val="hybridMultilevel"/>
    <w:tmpl w:val="FB1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2904"/>
    <w:multiLevelType w:val="hybridMultilevel"/>
    <w:tmpl w:val="5F32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AD"/>
    <w:rsid w:val="00005DEB"/>
    <w:rsid w:val="00007FE7"/>
    <w:rsid w:val="0002690E"/>
    <w:rsid w:val="000377D6"/>
    <w:rsid w:val="00055213"/>
    <w:rsid w:val="0006686A"/>
    <w:rsid w:val="00072CF2"/>
    <w:rsid w:val="000A524C"/>
    <w:rsid w:val="000C29B7"/>
    <w:rsid w:val="000C7972"/>
    <w:rsid w:val="000D477E"/>
    <w:rsid w:val="00100D44"/>
    <w:rsid w:val="0010215C"/>
    <w:rsid w:val="001109D8"/>
    <w:rsid w:val="00134C55"/>
    <w:rsid w:val="00151BBD"/>
    <w:rsid w:val="001718B9"/>
    <w:rsid w:val="00173C7C"/>
    <w:rsid w:val="001B39A4"/>
    <w:rsid w:val="001C5449"/>
    <w:rsid w:val="001D6F9F"/>
    <w:rsid w:val="001E6C99"/>
    <w:rsid w:val="001F2C69"/>
    <w:rsid w:val="002147F0"/>
    <w:rsid w:val="00221EEF"/>
    <w:rsid w:val="0022679E"/>
    <w:rsid w:val="0025752A"/>
    <w:rsid w:val="00274E66"/>
    <w:rsid w:val="002A4F6A"/>
    <w:rsid w:val="002A5332"/>
    <w:rsid w:val="002B23BF"/>
    <w:rsid w:val="002C2AD1"/>
    <w:rsid w:val="002F409F"/>
    <w:rsid w:val="00304507"/>
    <w:rsid w:val="003074AF"/>
    <w:rsid w:val="00326386"/>
    <w:rsid w:val="0033178F"/>
    <w:rsid w:val="00340679"/>
    <w:rsid w:val="0034400C"/>
    <w:rsid w:val="00344622"/>
    <w:rsid w:val="00344730"/>
    <w:rsid w:val="003564B3"/>
    <w:rsid w:val="0036706A"/>
    <w:rsid w:val="00367902"/>
    <w:rsid w:val="00376DD5"/>
    <w:rsid w:val="003B0C66"/>
    <w:rsid w:val="003E6694"/>
    <w:rsid w:val="0040768A"/>
    <w:rsid w:val="00410A7C"/>
    <w:rsid w:val="0041774C"/>
    <w:rsid w:val="00430DF3"/>
    <w:rsid w:val="00435A83"/>
    <w:rsid w:val="004628D7"/>
    <w:rsid w:val="00475C29"/>
    <w:rsid w:val="00480E2E"/>
    <w:rsid w:val="0048258C"/>
    <w:rsid w:val="004A772B"/>
    <w:rsid w:val="004B0C4B"/>
    <w:rsid w:val="004C40EF"/>
    <w:rsid w:val="004C64D1"/>
    <w:rsid w:val="004D61B3"/>
    <w:rsid w:val="004D74D1"/>
    <w:rsid w:val="005169DF"/>
    <w:rsid w:val="00540723"/>
    <w:rsid w:val="00564782"/>
    <w:rsid w:val="00582013"/>
    <w:rsid w:val="005B52C0"/>
    <w:rsid w:val="005D1CD6"/>
    <w:rsid w:val="005D1F6C"/>
    <w:rsid w:val="005E7AC4"/>
    <w:rsid w:val="006020C5"/>
    <w:rsid w:val="00633A9C"/>
    <w:rsid w:val="006635F8"/>
    <w:rsid w:val="0066372E"/>
    <w:rsid w:val="00670C61"/>
    <w:rsid w:val="0067193B"/>
    <w:rsid w:val="006722B8"/>
    <w:rsid w:val="006828EE"/>
    <w:rsid w:val="0068429C"/>
    <w:rsid w:val="00690476"/>
    <w:rsid w:val="00697417"/>
    <w:rsid w:val="006C6361"/>
    <w:rsid w:val="006C6B48"/>
    <w:rsid w:val="006E01C9"/>
    <w:rsid w:val="006E76C9"/>
    <w:rsid w:val="006E7B99"/>
    <w:rsid w:val="006F7C1D"/>
    <w:rsid w:val="00725D06"/>
    <w:rsid w:val="00743780"/>
    <w:rsid w:val="00756775"/>
    <w:rsid w:val="00765F63"/>
    <w:rsid w:val="007700A9"/>
    <w:rsid w:val="00774DF2"/>
    <w:rsid w:val="007765EC"/>
    <w:rsid w:val="007E26AA"/>
    <w:rsid w:val="007F5769"/>
    <w:rsid w:val="00823B03"/>
    <w:rsid w:val="00853ACB"/>
    <w:rsid w:val="00867597"/>
    <w:rsid w:val="008A1B02"/>
    <w:rsid w:val="008C0E64"/>
    <w:rsid w:val="008C2541"/>
    <w:rsid w:val="008E2BF0"/>
    <w:rsid w:val="008E5E6B"/>
    <w:rsid w:val="008E7C13"/>
    <w:rsid w:val="008F0BF0"/>
    <w:rsid w:val="008F4722"/>
    <w:rsid w:val="009173AD"/>
    <w:rsid w:val="00926EF4"/>
    <w:rsid w:val="00945B6F"/>
    <w:rsid w:val="00947227"/>
    <w:rsid w:val="00952221"/>
    <w:rsid w:val="00976D61"/>
    <w:rsid w:val="00994083"/>
    <w:rsid w:val="0099486D"/>
    <w:rsid w:val="009A3D76"/>
    <w:rsid w:val="009B37B9"/>
    <w:rsid w:val="009C73DC"/>
    <w:rsid w:val="009E0031"/>
    <w:rsid w:val="00A00F13"/>
    <w:rsid w:val="00A12020"/>
    <w:rsid w:val="00A26254"/>
    <w:rsid w:val="00A2785B"/>
    <w:rsid w:val="00A51CE2"/>
    <w:rsid w:val="00A52CFB"/>
    <w:rsid w:val="00A56BBC"/>
    <w:rsid w:val="00A738C9"/>
    <w:rsid w:val="00A97D5C"/>
    <w:rsid w:val="00AA764A"/>
    <w:rsid w:val="00AB6F80"/>
    <w:rsid w:val="00B0148C"/>
    <w:rsid w:val="00B5526B"/>
    <w:rsid w:val="00B659DE"/>
    <w:rsid w:val="00B93D16"/>
    <w:rsid w:val="00BA2F14"/>
    <w:rsid w:val="00BA53A2"/>
    <w:rsid w:val="00BA7C28"/>
    <w:rsid w:val="00BB789D"/>
    <w:rsid w:val="00BC3353"/>
    <w:rsid w:val="00BD0987"/>
    <w:rsid w:val="00BD208A"/>
    <w:rsid w:val="00BE1CDE"/>
    <w:rsid w:val="00BF05E5"/>
    <w:rsid w:val="00C336C6"/>
    <w:rsid w:val="00C421AA"/>
    <w:rsid w:val="00CA16CC"/>
    <w:rsid w:val="00CB73D8"/>
    <w:rsid w:val="00CF2A96"/>
    <w:rsid w:val="00CF3138"/>
    <w:rsid w:val="00CF3CA1"/>
    <w:rsid w:val="00CF5B6D"/>
    <w:rsid w:val="00CF70FC"/>
    <w:rsid w:val="00D36C39"/>
    <w:rsid w:val="00D642B2"/>
    <w:rsid w:val="00D768C9"/>
    <w:rsid w:val="00D82AC9"/>
    <w:rsid w:val="00D82CB9"/>
    <w:rsid w:val="00D90E49"/>
    <w:rsid w:val="00D96A83"/>
    <w:rsid w:val="00DD0DAA"/>
    <w:rsid w:val="00DF6B35"/>
    <w:rsid w:val="00E077DE"/>
    <w:rsid w:val="00E65407"/>
    <w:rsid w:val="00E81D0A"/>
    <w:rsid w:val="00E916D1"/>
    <w:rsid w:val="00EB391B"/>
    <w:rsid w:val="00EB3CB3"/>
    <w:rsid w:val="00EF6060"/>
    <w:rsid w:val="00F205D7"/>
    <w:rsid w:val="00F20AC3"/>
    <w:rsid w:val="00F26329"/>
    <w:rsid w:val="00F27DFB"/>
    <w:rsid w:val="00F32D6B"/>
    <w:rsid w:val="00F3541C"/>
    <w:rsid w:val="00F50D17"/>
    <w:rsid w:val="00F53143"/>
    <w:rsid w:val="00F611D3"/>
    <w:rsid w:val="00F65A0A"/>
    <w:rsid w:val="00F70BEC"/>
    <w:rsid w:val="00F92A22"/>
    <w:rsid w:val="00FB75AB"/>
    <w:rsid w:val="00FC622D"/>
    <w:rsid w:val="00FC6D36"/>
    <w:rsid w:val="00FD316C"/>
    <w:rsid w:val="00FD4C38"/>
    <w:rsid w:val="00FF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F3068"/>
  <w15:docId w15:val="{EDDB8F4C-DA6C-4E07-BDDD-291C57CB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uiPriority="9" w:qFormat="1"/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541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7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72"/>
    <w:rPr>
      <w:rFonts w:ascii="Calibri Light" w:eastAsia="SimSun" w:hAnsi="Calibri Light" w:cs="Times New Roman"/>
      <w:color w:val="2E74B5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72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0C7972"/>
    <w:rPr>
      <w:rFonts w:ascii="Calibri Light" w:eastAsia="SimSun" w:hAnsi="Calibri Light" w:cs="Times New Roman"/>
      <w:sz w:val="22"/>
      <w:szCs w:val="22"/>
    </w:rPr>
  </w:style>
  <w:style w:type="character" w:styleId="Hyperlink">
    <w:name w:val="Hyperlink"/>
    <w:uiPriority w:val="99"/>
    <w:rsid w:val="000C7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8F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8F"/>
    <w:rPr>
      <w:rFonts w:ascii="Calibri" w:eastAsia="Times New Roman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33178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E7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C1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39"/>
    <w:rsid w:val="008E7C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C13"/>
    <w:rPr>
      <w:b/>
      <w:bCs/>
    </w:rPr>
  </w:style>
  <w:style w:type="paragraph" w:styleId="ListParagraph">
    <w:name w:val="List Paragraph"/>
    <w:basedOn w:val="Normal"/>
    <w:uiPriority w:val="34"/>
    <w:qFormat/>
    <w:rsid w:val="008E7C1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56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7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47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78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78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8C2541"/>
    <w:pPr>
      <w:autoSpaceDE w:val="0"/>
      <w:autoSpaceDN w:val="0"/>
      <w:adjustRightInd w:val="0"/>
      <w:spacing w:after="0" w:line="241" w:lineRule="atLeast"/>
    </w:pPr>
    <w:rPr>
      <w:rFonts w:ascii="Helvetica 45 Light" w:eastAsiaTheme="minorHAnsi" w:hAnsi="Helvetica 45 Light" w:cstheme="minorBidi"/>
      <w:sz w:val="24"/>
      <w:szCs w:val="24"/>
    </w:rPr>
  </w:style>
  <w:style w:type="character" w:customStyle="1" w:styleId="A4">
    <w:name w:val="A4"/>
    <w:uiPriority w:val="99"/>
    <w:rsid w:val="008C2541"/>
    <w:rPr>
      <w:rFonts w:cs="Helvetica 45 Light"/>
      <w:color w:val="000000"/>
      <w:sz w:val="18"/>
      <w:szCs w:val="18"/>
    </w:rPr>
  </w:style>
  <w:style w:type="paragraph" w:customStyle="1" w:styleId="Default">
    <w:name w:val="Default"/>
    <w:rsid w:val="0002690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customStyle="1" w:styleId="Pa2">
    <w:name w:val="Pa2"/>
    <w:basedOn w:val="Default"/>
    <w:next w:val="Default"/>
    <w:uiPriority w:val="99"/>
    <w:rsid w:val="0002690E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2690E"/>
    <w:rPr>
      <w:rFonts w:cs="Helvetica 45 Light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EB3C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2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A76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764A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AA764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A76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764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A764A"/>
    <w:rPr>
      <w:vertAlign w:val="superscript"/>
    </w:rPr>
  </w:style>
  <w:style w:type="paragraph" w:styleId="Revision">
    <w:name w:val="Revision"/>
    <w:hidden/>
    <w:semiHidden/>
    <w:rsid w:val="00725D0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bloschichak@novitas-solutio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rdiacinsightinc.com" TargetMode="External"/><Relationship Id="rId2" Type="http://schemas.openxmlformats.org/officeDocument/2006/relationships/hyperlink" Target="http://www.cardiacinsightinc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Phipps\Desktop\Templates%20PPT_WORD\Cardiac%20Insigh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9F4E-400D-41BF-AD14-AE28EC3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Cardiac Insight Template Final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Meyer Design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Phipps</dc:creator>
  <cp:keywords/>
  <cp:lastModifiedBy>Carla Pagotto</cp:lastModifiedBy>
  <cp:revision>2</cp:revision>
  <cp:lastPrinted>2020-10-16T03:05:00Z</cp:lastPrinted>
  <dcterms:created xsi:type="dcterms:W3CDTF">2021-03-13T00:21:00Z</dcterms:created>
  <dcterms:modified xsi:type="dcterms:W3CDTF">2021-03-13T00:21:00Z</dcterms:modified>
</cp:coreProperties>
</file>